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sz w:val="18"/>
          <w:szCs w:val="18"/>
        </w:rPr>
      </w:pPr>
      <w:r w:rsidDel="00000000" w:rsidR="00000000" w:rsidRPr="00000000">
        <w:rPr>
          <w:rtl w:val="0"/>
        </w:rPr>
      </w:r>
    </w:p>
    <w:p w:rsidR="00000000" w:rsidDel="00000000" w:rsidP="00000000" w:rsidRDefault="00000000" w:rsidRPr="00000000" w14:paraId="00000002">
      <w:pPr>
        <w:jc w:val="right"/>
        <w:rPr>
          <w:sz w:val="18"/>
          <w:szCs w:val="18"/>
        </w:rPr>
      </w:pPr>
      <w:r w:rsidDel="00000000" w:rsidR="00000000" w:rsidRPr="00000000">
        <w:rPr>
          <w:sz w:val="18"/>
          <w:szCs w:val="18"/>
          <w:rtl w:val="0"/>
        </w:rPr>
        <w:t xml:space="preserve">Modulo 2)</w:t>
      </w:r>
    </w:p>
    <w:p w:rsidR="00000000" w:rsidDel="00000000" w:rsidP="00000000" w:rsidRDefault="00000000" w:rsidRPr="00000000" w14:paraId="00000003">
      <w:pPr>
        <w:widowControl w:val="1"/>
        <w:jc w:val="center"/>
        <w:rPr>
          <w:b w:val="1"/>
          <w:sz w:val="18"/>
          <w:szCs w:val="18"/>
        </w:rPr>
      </w:pPr>
      <w:r w:rsidDel="00000000" w:rsidR="00000000" w:rsidRPr="00000000">
        <w:rPr>
          <w:b w:val="1"/>
          <w:sz w:val="18"/>
          <w:szCs w:val="18"/>
          <w:rtl w:val="0"/>
        </w:rPr>
        <w:t xml:space="preserve">“BIG 5 GLOBAL DUBAI”</w:t>
      </w:r>
    </w:p>
    <w:p w:rsidR="00000000" w:rsidDel="00000000" w:rsidP="00000000" w:rsidRDefault="00000000" w:rsidRPr="00000000" w14:paraId="00000004">
      <w:pPr>
        <w:widowControl w:val="1"/>
        <w:jc w:val="center"/>
        <w:rPr>
          <w:b w:val="1"/>
          <w:sz w:val="18"/>
          <w:szCs w:val="18"/>
        </w:rPr>
      </w:pPr>
      <w:r w:rsidDel="00000000" w:rsidR="00000000" w:rsidRPr="00000000">
        <w:rPr>
          <w:b w:val="1"/>
          <w:sz w:val="18"/>
          <w:szCs w:val="18"/>
          <w:rtl w:val="0"/>
        </w:rPr>
        <w:t xml:space="preserve">Dubai, 24 - 27 novembre 2025</w:t>
      </w:r>
    </w:p>
    <w:p w:rsidR="00000000" w:rsidDel="00000000" w:rsidP="00000000" w:rsidRDefault="00000000" w:rsidRPr="00000000" w14:paraId="00000005">
      <w:pPr>
        <w:widowControl w:val="1"/>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widowControl w:val="1"/>
        <w:jc w:val="both"/>
        <w:rPr>
          <w:rFonts w:ascii="Calibri" w:cs="Calibri" w:eastAsia="Calibri" w:hAnsi="Calibri"/>
          <w:b w:val="1"/>
          <w:sz w:val="19"/>
          <w:szCs w:val="19"/>
        </w:rPr>
      </w:pPr>
      <w:r w:rsidDel="00000000" w:rsidR="00000000" w:rsidRPr="00000000">
        <w:rPr>
          <w:rFonts w:ascii="Calibri" w:cs="Calibri" w:eastAsia="Calibri" w:hAnsi="Calibri"/>
          <w:b w:val="1"/>
          <w:rtl w:val="0"/>
        </w:rPr>
        <w:t xml:space="preserve">INFORMATIVA SUL TRATTAMENTO DEI DATI PERSONALI NELLO SVOLGIMENTO DEI SERVIZI</w:t>
        <w:br w:type="textWrapping"/>
      </w:r>
      <w:r w:rsidDel="00000000" w:rsidR="00000000" w:rsidRPr="00000000">
        <w:rPr>
          <w:rFonts w:ascii="Calibri" w:cs="Calibri" w:eastAsia="Calibri" w:hAnsi="Calibri"/>
          <w:b w:val="1"/>
          <w:sz w:val="19"/>
          <w:szCs w:val="19"/>
          <w:rtl w:val="0"/>
        </w:rPr>
        <w:t xml:space="preserve">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000000" w:rsidDel="00000000" w:rsidP="00000000" w:rsidRDefault="00000000" w:rsidRPr="00000000" w14:paraId="00000007">
      <w:pPr>
        <w:widowControl w:val="1"/>
        <w:jc w:val="both"/>
        <w:rPr>
          <w:rFonts w:ascii="Calibri" w:cs="Calibri" w:eastAsia="Calibri" w:hAnsi="Calibri"/>
          <w:b w:val="1"/>
          <w:sz w:val="19"/>
          <w:szCs w:val="19"/>
        </w:rPr>
      </w:pPr>
      <w:r w:rsidDel="00000000" w:rsidR="00000000" w:rsidRPr="00000000">
        <w:rPr>
          <w:rtl w:val="0"/>
        </w:rPr>
      </w:r>
    </w:p>
    <w:p w:rsidR="00000000" w:rsidDel="00000000" w:rsidP="00000000" w:rsidRDefault="00000000" w:rsidRPr="00000000" w14:paraId="00000008">
      <w:pPr>
        <w:widowControl w:val="1"/>
        <w:jc w:val="both"/>
        <w:rPr>
          <w:rFonts w:ascii="Calibri" w:cs="Calibri" w:eastAsia="Calibri" w:hAnsi="Calibri"/>
          <w:sz w:val="20"/>
          <w:szCs w:val="20"/>
        </w:rPr>
      </w:pPr>
      <w:bookmarkStart w:colFirst="0" w:colLast="0" w:name="_heading=h.1fob9te" w:id="0"/>
      <w:bookmarkEnd w:id="0"/>
      <w:r w:rsidDel="00000000" w:rsidR="00000000" w:rsidRPr="00000000">
        <w:rPr>
          <w:rFonts w:ascii="Calibri" w:cs="Calibri" w:eastAsia="Calibri" w:hAnsi="Calibri"/>
          <w:b w:val="1"/>
          <w:i w:val="1"/>
          <w:sz w:val="20"/>
          <w:szCs w:val="20"/>
          <w:rtl w:val="0"/>
        </w:rPr>
        <w:t xml:space="preserve">TECNE</w:t>
      </w:r>
      <w:r w:rsidDel="00000000" w:rsidR="00000000" w:rsidRPr="00000000">
        <w:rPr>
          <w:rFonts w:ascii="Calibri" w:cs="Calibri" w:eastAsia="Calibri" w:hAnsi="Calibri"/>
          <w:b w:val="1"/>
          <w:sz w:val="20"/>
          <w:szCs w:val="20"/>
          <w:rtl w:val="0"/>
        </w:rPr>
        <w:t xml:space="preserve"> - Azienda Speciale Camera di Commercio delle Marche</w:t>
      </w:r>
      <w:r w:rsidDel="00000000" w:rsidR="00000000" w:rsidRPr="00000000">
        <w:rPr>
          <w:rFonts w:ascii="Calibri" w:cs="Calibri" w:eastAsia="Calibri" w:hAnsi="Calibri"/>
          <w:sz w:val="20"/>
          <w:szCs w:val="20"/>
          <w:rtl w:val="0"/>
        </w:rPr>
        <w:t xml:space="preserve">, di seguito indicata per brevità anche come </w:t>
      </w:r>
      <w:r w:rsidDel="00000000" w:rsidR="00000000" w:rsidRPr="00000000">
        <w:rPr>
          <w:rFonts w:ascii="Calibri" w:cs="Calibri" w:eastAsia="Calibri" w:hAnsi="Calibri"/>
          <w:b w:val="1"/>
          <w:i w:val="1"/>
          <w:sz w:val="20"/>
          <w:szCs w:val="20"/>
          <w:rtl w:val="0"/>
        </w:rPr>
        <w:t xml:space="preserve">TECNE</w:t>
      </w:r>
      <w:r w:rsidDel="00000000" w:rsidR="00000000" w:rsidRPr="00000000">
        <w:rPr>
          <w:rFonts w:ascii="Calibri" w:cs="Calibri" w:eastAsia="Calibri" w:hAnsi="Calibri"/>
          <w:sz w:val="20"/>
          <w:szCs w:val="20"/>
          <w:rtl w:val="0"/>
        </w:rPr>
        <w:t xml:space="preserve">, desidera fornire le seguenti informazioni sulle modalità di trattamento dei dati personali raccolti.</w:t>
      </w:r>
    </w:p>
    <w:p w:rsidR="00000000" w:rsidDel="00000000" w:rsidP="00000000" w:rsidRDefault="00000000" w:rsidRPr="00000000" w14:paraId="00000009">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Dati di contatto</w:t>
      </w:r>
    </w:p>
    <w:p w:rsidR="00000000" w:rsidDel="00000000" w:rsidP="00000000" w:rsidRDefault="00000000" w:rsidRPr="00000000" w14:paraId="0000000B">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Titolare del trattamento è TECNE</w:t>
      </w:r>
      <w:r w:rsidDel="00000000" w:rsidR="00000000" w:rsidRPr="00000000">
        <w:rPr>
          <w:rFonts w:ascii="Calibri" w:cs="Calibri" w:eastAsia="Calibri" w:hAnsi="Calibri"/>
          <w:i w:val="1"/>
          <w:sz w:val="20"/>
          <w:szCs w:val="20"/>
          <w:rtl w:val="0"/>
        </w:rPr>
        <w:t xml:space="preserve"> - </w:t>
      </w:r>
      <w:r w:rsidDel="00000000" w:rsidR="00000000" w:rsidRPr="00000000">
        <w:rPr>
          <w:rFonts w:ascii="Calibri" w:cs="Calibri" w:eastAsia="Calibri" w:hAnsi="Calibri"/>
          <w:sz w:val="20"/>
          <w:szCs w:val="20"/>
          <w:rtl w:val="0"/>
        </w:rPr>
        <w:t xml:space="preserve">Azienda Speciale Camera di Commercio delle Marche, con sede legale in Corso XI Settembre 116 – Pesaro, P.Iva: 02239700418, recapiti tel: +39 0721/357483, email: tecne@marche.camcom.it email certificata: </w:t>
      </w:r>
      <w:hyperlink r:id="rId8">
        <w:r w:rsidDel="00000000" w:rsidR="00000000" w:rsidRPr="00000000">
          <w:rPr>
            <w:rFonts w:ascii="Calibri" w:cs="Calibri" w:eastAsia="Calibri" w:hAnsi="Calibri"/>
            <w:color w:val="0000ff"/>
            <w:sz w:val="20"/>
            <w:szCs w:val="20"/>
            <w:u w:val="single"/>
            <w:rtl w:val="0"/>
          </w:rPr>
          <w:t xml:space="preserve">tecne@pec.marche.camcom.it</w:t>
        </w:r>
      </w:hyperlink>
      <w:r w:rsidDel="00000000" w:rsidR="00000000" w:rsidRPr="00000000">
        <w:rPr>
          <w:rtl w:val="0"/>
        </w:rPr>
      </w:r>
    </w:p>
    <w:p w:rsidR="00000000" w:rsidDel="00000000" w:rsidP="00000000" w:rsidRDefault="00000000" w:rsidRPr="00000000" w14:paraId="0000000C">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bookmarkStart w:colFirst="0" w:colLast="0" w:name="_heading=h.3znysh7" w:id="1"/>
      <w:bookmarkEnd w:id="1"/>
      <w:r w:rsidDel="00000000" w:rsidR="00000000" w:rsidRPr="00000000">
        <w:rPr>
          <w:rFonts w:ascii="Calibri" w:cs="Calibri" w:eastAsia="Calibri" w:hAnsi="Calibri"/>
          <w:sz w:val="20"/>
          <w:szCs w:val="20"/>
          <w:rtl w:val="0"/>
        </w:rPr>
        <w:t xml:space="preserve">TECNE</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ha provveduto a nominare il responsabile della protezione dei dati personali ai sensi dell’art. 37 del Reg. (EU) 2016/679, raggiungibile al seguente recapito di posta elettronica: </w:t>
      </w:r>
      <w:hyperlink r:id="rId9">
        <w:r w:rsidDel="00000000" w:rsidR="00000000" w:rsidRPr="00000000">
          <w:rPr>
            <w:rFonts w:ascii="Calibri" w:cs="Calibri" w:eastAsia="Calibri" w:hAnsi="Calibri"/>
            <w:color w:val="0000ff"/>
            <w:sz w:val="20"/>
            <w:szCs w:val="20"/>
            <w:u w:val="single"/>
            <w:rtl w:val="0"/>
          </w:rPr>
          <w:t xml:space="preserve">tecne@marche.camcom.it</w:t>
        </w:r>
      </w:hyperlink>
      <w:r w:rsidDel="00000000" w:rsidR="00000000" w:rsidRPr="00000000">
        <w:rPr>
          <w:rtl w:val="0"/>
        </w:rPr>
      </w:r>
    </w:p>
    <w:p w:rsidR="00000000" w:rsidDel="00000000" w:rsidP="00000000" w:rsidRDefault="00000000" w:rsidRPr="00000000" w14:paraId="0000000D">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widowControl w:val="1"/>
        <w:pBdr>
          <w:top w:color="000000" w:space="1" w:sz="4" w:val="single"/>
          <w:left w:color="000000" w:space="4" w:sz="4" w:val="single"/>
          <w:bottom w:color="000000" w:space="1" w:sz="4" w:val="single"/>
          <w:right w:color="000000" w:space="4" w:sz="4" w:val="single"/>
        </w:pBdr>
        <w:spacing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Base giuridica del trattamento</w:t>
      </w:r>
    </w:p>
    <w:p w:rsidR="00000000" w:rsidDel="00000000" w:rsidP="00000000" w:rsidRDefault="00000000" w:rsidRPr="00000000" w14:paraId="0000000F">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Nel perseguimento dei propri obiettivi, il Titolare tratta dati personali identificativi quali sono ad esempio nome e cognome, codice fiscale, p. iva, recapito email, numero telefonico, in seguito definiti brevemente come "dati", riferiti a:</w:t>
      </w:r>
    </w:p>
    <w:p w:rsidR="00000000" w:rsidDel="00000000" w:rsidP="00000000" w:rsidRDefault="00000000" w:rsidRPr="00000000" w14:paraId="00000010">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 clienti (anche potenziali) di </w:t>
      </w:r>
      <w:r w:rsidDel="00000000" w:rsidR="00000000" w:rsidRPr="00000000">
        <w:rPr>
          <w:rFonts w:ascii="Calibri" w:cs="Calibri" w:eastAsia="Calibri" w:hAnsi="Calibri"/>
          <w:sz w:val="20"/>
          <w:szCs w:val="20"/>
          <w:rtl w:val="0"/>
        </w:rPr>
        <w:t xml:space="preserve">TECNE </w:t>
      </w:r>
      <w:r w:rsidDel="00000000" w:rsidR="00000000" w:rsidRPr="00000000">
        <w:rPr>
          <w:rFonts w:ascii="Calibri" w:cs="Calibri" w:eastAsia="Calibri" w:hAnsi="Calibri"/>
          <w:sz w:val="19"/>
          <w:szCs w:val="19"/>
          <w:rtl w:val="0"/>
        </w:rPr>
        <w:t xml:space="preserve">(se tali clienti (anche potenziali) sono persone fisiche);</w:t>
      </w:r>
    </w:p>
    <w:p w:rsidR="00000000" w:rsidDel="00000000" w:rsidP="00000000" w:rsidRDefault="00000000" w:rsidRPr="00000000" w14:paraId="00000011">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 dipendenti dei clienti (anche potenziali) di </w:t>
      </w:r>
      <w:r w:rsidDel="00000000" w:rsidR="00000000" w:rsidRPr="00000000">
        <w:rPr>
          <w:rFonts w:ascii="Calibri" w:cs="Calibri" w:eastAsia="Calibri" w:hAnsi="Calibri"/>
          <w:sz w:val="20"/>
          <w:szCs w:val="20"/>
          <w:rtl w:val="0"/>
        </w:rPr>
        <w:t xml:space="preserve">TECNE</w:t>
      </w:r>
      <w:r w:rsidDel="00000000" w:rsidR="00000000" w:rsidRPr="00000000">
        <w:rPr>
          <w:rtl w:val="0"/>
        </w:rPr>
      </w:r>
    </w:p>
    <w:p w:rsidR="00000000" w:rsidDel="00000000" w:rsidP="00000000" w:rsidRDefault="00000000" w:rsidRPr="00000000" w14:paraId="00000012">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specificano a seguire scopo, base di liceità e durata per ciascun trattamento svolto dal Titolare.</w:t>
      </w:r>
    </w:p>
    <w:p w:rsidR="00000000" w:rsidDel="00000000" w:rsidP="00000000" w:rsidRDefault="00000000" w:rsidRPr="00000000" w14:paraId="00000013">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tributaria vigenti.</w:t>
      </w:r>
    </w:p>
    <w:p w:rsidR="00000000" w:rsidDel="00000000" w:rsidP="00000000" w:rsidRDefault="00000000" w:rsidRPr="00000000" w14:paraId="00000014">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tributaria vigenti.</w:t>
      </w:r>
    </w:p>
    <w:p w:rsidR="00000000" w:rsidDel="00000000" w:rsidP="00000000" w:rsidRDefault="00000000" w:rsidRPr="00000000" w14:paraId="00000015">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tributaria vigenti.</w:t>
      </w:r>
    </w:p>
    <w:p w:rsidR="00000000" w:rsidDel="00000000" w:rsidP="00000000" w:rsidRDefault="00000000" w:rsidRPr="00000000" w14:paraId="00000016">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precisa che in caso di mancato conferimento dei dati personali, può non essere possibile eseguire il contratto tra il Titolare e l’interessato.</w:t>
      </w:r>
    </w:p>
    <w:p w:rsidR="00000000" w:rsidDel="00000000" w:rsidP="00000000" w:rsidRDefault="00000000" w:rsidRPr="00000000" w14:paraId="00000017">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bookmarkStart w:colFirst="0" w:colLast="0" w:name="_heading=h.2et92p0" w:id="2"/>
      <w:bookmarkEnd w:id="2"/>
      <w:r w:rsidDel="00000000" w:rsidR="00000000" w:rsidRPr="00000000">
        <w:rPr>
          <w:rFonts w:ascii="Calibri" w:cs="Calibri" w:eastAsia="Calibri" w:hAnsi="Calibri"/>
          <w:sz w:val="20"/>
          <w:szCs w:val="20"/>
          <w:rtl w:val="0"/>
        </w:rPr>
        <w:t xml:space="preserve">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rsidR="00000000" w:rsidDel="00000000" w:rsidP="00000000" w:rsidRDefault="00000000" w:rsidRPr="00000000" w14:paraId="00000018">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Qualora non si instauri alcun contratto, sulla base giuridica dello specifico e distinto consenso (art. 7 GDPR) dell’interessato, facoltativo e revocabile in qualsiasi momento, il trattamento è svolto per le seguenti ulteriori finalità:</w:t>
      </w:r>
    </w:p>
    <w:p w:rsidR="00000000" w:rsidDel="00000000" w:rsidP="00000000" w:rsidRDefault="00000000" w:rsidRPr="00000000" w14:paraId="00000019">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inserimento in mailing list per la fruizione di servizi di newsletter verso cui l’interessato manifesta il proprio intessere, le quali potranno contenere anche informazioni di natura commerciale e promozionale, relative all’attività del Titolare.</w:t>
      </w:r>
    </w:p>
    <w:p w:rsidR="00000000" w:rsidDel="00000000" w:rsidP="00000000" w:rsidRDefault="00000000" w:rsidRPr="00000000" w14:paraId="0000001A">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rsidR="00000000" w:rsidDel="00000000" w:rsidP="00000000" w:rsidRDefault="00000000" w:rsidRPr="00000000" w14:paraId="0000001B">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sono sottoposti a trattamento sia cartaceo che elettronico e/o automatizzato.</w:t>
      </w:r>
    </w:p>
    <w:p w:rsidR="00000000" w:rsidDel="00000000" w:rsidP="00000000" w:rsidRDefault="00000000" w:rsidRPr="00000000" w14:paraId="0000001C">
      <w:pPr>
        <w:widowControl w:val="1"/>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D">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Destinatari o le categorie di destinatari dei dati</w:t>
      </w:r>
    </w:p>
    <w:p w:rsidR="00000000" w:rsidDel="00000000" w:rsidP="00000000" w:rsidRDefault="00000000" w:rsidRPr="00000000" w14:paraId="0000001E">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potranno essere comunicati a soggetti operanti in qualità di titolari del trattamento, quali a titolo esemplificativo, autorità di vigilanza e controllo ed ogni soggetto pubblico legittimato, come l'autorità giudiziaria e/o di pubblica sicurezza.</w:t>
      </w:r>
    </w:p>
    <w:p w:rsidR="00000000" w:rsidDel="00000000" w:rsidP="00000000" w:rsidRDefault="00000000" w:rsidRPr="00000000" w14:paraId="0000001F">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rsidR="00000000" w:rsidDel="00000000" w:rsidP="00000000" w:rsidRDefault="00000000" w:rsidRPr="00000000" w14:paraId="00000020">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Detti soggetti tratteranno i dati nella loro qualità di autonomi titolari del trattamento o responsabili esterni, senza che possano diffonderli.</w:t>
      </w:r>
    </w:p>
    <w:p w:rsidR="00000000" w:rsidDel="00000000" w:rsidP="00000000" w:rsidRDefault="00000000" w:rsidRPr="00000000" w14:paraId="00000021">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L’elenco completo dei soggetti designati come responsabili esterni è custodito dal Titolare.</w:t>
      </w:r>
    </w:p>
    <w:p w:rsidR="00000000" w:rsidDel="00000000" w:rsidP="00000000" w:rsidRDefault="00000000" w:rsidRPr="00000000" w14:paraId="00000022">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Trasferimento dati a paesi terzi</w:t>
      </w:r>
    </w:p>
    <w:p w:rsidR="00000000" w:rsidDel="00000000" w:rsidP="00000000" w:rsidRDefault="00000000" w:rsidRPr="00000000" w14:paraId="00000029">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 si riserva la possibilità di utilizzare servizi in cloud e in tal caso i fornitori dei servizi saranno selezionati tra coloro che forniscono garanzie adeguate, così come previsto dall’art.46 GDPR 2016/679.</w:t>
      </w:r>
    </w:p>
    <w:p w:rsidR="00000000" w:rsidDel="00000000" w:rsidP="00000000" w:rsidRDefault="00000000" w:rsidRPr="00000000" w14:paraId="0000002A">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Nella prosecuzione degli obiettivi di TECNE, volti all’internazionalizzazione delle imprese italiane, sono possibili trasferimenti di dati personali in territorio extra-UE, ad esempio per la promozione e organizzazione di eventi e manifestazioni e per la creazione di contatti con controparti estere.</w:t>
      </w:r>
    </w:p>
    <w:p w:rsidR="00000000" w:rsidDel="00000000" w:rsidP="00000000" w:rsidRDefault="00000000" w:rsidRPr="00000000" w14:paraId="0000002B">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trasferimento avviene a condizione di soddisfare almeno una delle condizioni seguenti:</w:t>
      </w:r>
    </w:p>
    <w:p w:rsidR="00000000" w:rsidDel="00000000" w:rsidP="00000000" w:rsidRDefault="00000000" w:rsidRPr="00000000" w14:paraId="0000002C">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è garantito un livello adeguato di protezione mediante una decisione di adeguatezza della Commissione (articolo 45, paragrafo 3, del GDPR);</w:t>
      </w:r>
    </w:p>
    <w:p w:rsidR="00000000" w:rsidDel="00000000" w:rsidP="00000000" w:rsidRDefault="00000000" w:rsidRPr="00000000" w14:paraId="0000002D">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è stato siglato un accordo con clausole standard sulla protezione dei dati (articolo 46, paragrafo 2, lettere c) d) d) GDPR)</w:t>
      </w:r>
    </w:p>
    <w:p w:rsidR="00000000" w:rsidDel="00000000" w:rsidP="00000000" w:rsidRDefault="00000000" w:rsidRPr="00000000" w14:paraId="0000002E">
      <w:pPr>
        <w:widowControl w:val="1"/>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F">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Diritti dell'interessato</w:t>
      </w:r>
    </w:p>
    <w:p w:rsidR="00000000" w:rsidDel="00000000" w:rsidP="00000000" w:rsidRDefault="00000000" w:rsidRPr="00000000" w14:paraId="00000030">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rsidR="00000000" w:rsidDel="00000000" w:rsidP="00000000" w:rsidRDefault="00000000" w:rsidRPr="00000000" w14:paraId="00000031">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 il diritto di proporre reclamo all'Autorità di controllo competente nello Stato membro in cui risiede abitualmente o lavora o dello Stato in cui si è verificata la presunta violazione.</w:t>
      </w:r>
    </w:p>
    <w:p w:rsidR="00000000" w:rsidDel="00000000" w:rsidP="00000000" w:rsidRDefault="00000000" w:rsidRPr="00000000" w14:paraId="00000032">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widowControl w:val="1"/>
        <w:spacing w:line="259" w:lineRule="auto"/>
        <w:rPr>
          <w:rFonts w:ascii="Calibri" w:cs="Calibri" w:eastAsia="Calibri" w:hAnsi="Calibri"/>
          <w:sz w:val="20"/>
          <w:szCs w:val="20"/>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L’interessato ha preso visione della presente informativa sul trattamento dei suoi dati personali.</w:t>
      </w:r>
    </w:p>
    <w:p w:rsidR="00000000" w:rsidDel="00000000" w:rsidP="00000000" w:rsidRDefault="00000000" w:rsidRPr="00000000" w14:paraId="00000034">
      <w:pPr>
        <w:widowControl w:val="1"/>
        <w:spacing w:line="259" w:lineRule="auto"/>
        <w:rPr>
          <w:rFonts w:ascii="Calibri" w:cs="Calibri" w:eastAsia="Calibri" w:hAnsi="Calibri"/>
          <w:sz w:val="20"/>
          <w:szCs w:val="20"/>
        </w:rPr>
      </w:pPr>
      <w:bookmarkStart w:colFirst="0" w:colLast="0" w:name="_heading=h.tyjcwt" w:id="3"/>
      <w:bookmarkEnd w:id="3"/>
      <w:r w:rsidDel="00000000" w:rsidR="00000000" w:rsidRPr="00000000">
        <w:rPr>
          <w:rtl w:val="0"/>
        </w:rPr>
      </w:r>
    </w:p>
    <w:p w:rsidR="00000000" w:rsidDel="00000000" w:rsidP="00000000" w:rsidRDefault="00000000" w:rsidRPr="00000000" w14:paraId="00000035">
      <w:pPr>
        <w:widowControl w:val="1"/>
        <w:pBdr>
          <w:top w:color="000000" w:space="1" w:sz="4" w:val="single"/>
          <w:left w:color="000000" w:space="4" w:sz="4" w:val="single"/>
          <w:bottom w:color="000000" w:space="1" w:sz="4" w:val="single"/>
          <w:right w:color="000000" w:space="4" w:sz="4" w:val="single"/>
        </w:pBdr>
        <w:spacing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Manifestazione del consenso (art. 7 Regolamento UE nr. 679/2016)</w:t>
      </w:r>
    </w:p>
    <w:p w:rsidR="00000000" w:rsidDel="00000000" w:rsidP="00000000" w:rsidRDefault="00000000" w:rsidRPr="00000000" w14:paraId="00000036">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widowControl w:val="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riferimento alla pubblicazione e/o diffusione in qualsiasi forma delle proprie immagini acquisite dall’organizzatore nell’ambito dell’evento per il quale viene sottoscritta questa liberatoria, pubblicazione che potrà avvenire sul sito internet o sui profili social di TECNE, su carta stampata e/o su qualsiasi altro mezzo di diffusione, per finalità di carattere meramente informativo ed eventualmente promozionale, senza scopo di lucro e senza limiti di tempo, anche ai sensi degli artt. 10 e 320 cod. civ. e degli artt. 96 e 97 legge 22.4.1941, n. 633, Legge sul diritto d’autore, nonché alla conservazione delle foto e dei video stessi negli archivi informatici di TECNE, a titolo gratuito:</w:t>
      </w:r>
    </w:p>
    <w:p w:rsidR="00000000" w:rsidDel="00000000" w:rsidP="00000000" w:rsidRDefault="00000000" w:rsidRPr="00000000" w14:paraId="00000038">
      <w:pPr>
        <w:widowControl w:val="1"/>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9">
      <w:pPr>
        <w:widowControl w:val="1"/>
        <w:jc w:val="both"/>
        <w:rPr>
          <w:rFonts w:ascii="Calibri" w:cs="Calibri" w:eastAsia="Calibri" w:hAnsi="Calibri"/>
          <w:sz w:val="20"/>
          <w:szCs w:val="20"/>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do il consenso</w:t>
        <w:tab/>
        <w:tab/>
        <w:tab/>
      </w: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nego il consenso</w:t>
      </w:r>
    </w:p>
    <w:p w:rsidR="00000000" w:rsidDel="00000000" w:rsidP="00000000" w:rsidRDefault="00000000" w:rsidRPr="00000000" w14:paraId="0000003A">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widowControl w:val="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riferimento all’inserimento in mailing list per la fruizione di servizi di newsletter:</w:t>
      </w:r>
    </w:p>
    <w:p w:rsidR="00000000" w:rsidDel="00000000" w:rsidP="00000000" w:rsidRDefault="00000000" w:rsidRPr="00000000" w14:paraId="0000003C">
      <w:pPr>
        <w:widowControl w:val="1"/>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D">
      <w:pPr>
        <w:widowControl w:val="1"/>
        <w:jc w:val="both"/>
        <w:rPr>
          <w:rFonts w:ascii="Calibri" w:cs="Calibri" w:eastAsia="Calibri" w:hAnsi="Calibri"/>
          <w:sz w:val="20"/>
          <w:szCs w:val="20"/>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do il consenso</w:t>
        <w:tab/>
        <w:tab/>
        <w:tab/>
      </w: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nego il consenso</w:t>
      </w:r>
    </w:p>
    <w:p w:rsidR="00000000" w:rsidDel="00000000" w:rsidP="00000000" w:rsidRDefault="00000000" w:rsidRPr="00000000" w14:paraId="0000003E">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widowControl w:val="1"/>
        <w:jc w:val="both"/>
        <w:rPr>
          <w:rFonts w:ascii="Calibri" w:cs="Calibri" w:eastAsia="Calibri" w:hAnsi="Calibri"/>
          <w:sz w:val="20"/>
          <w:szCs w:val="20"/>
        </w:rPr>
      </w:pPr>
      <w:r w:rsidDel="00000000" w:rsidR="00000000" w:rsidRPr="00000000">
        <w:rPr>
          <w:rtl w:val="0"/>
        </w:rPr>
      </w:r>
    </w:p>
    <w:tbl>
      <w:tblPr>
        <w:tblStyle w:val="Table1"/>
        <w:tblW w:w="996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81"/>
        <w:gridCol w:w="4981"/>
        <w:tblGridChange w:id="0">
          <w:tblGrid>
            <w:gridCol w:w="4981"/>
            <w:gridCol w:w="4981"/>
          </w:tblGrid>
        </w:tblGridChange>
      </w:tblGrid>
      <w:tr>
        <w:trPr>
          <w:cantSplit w:val="0"/>
          <w:tblHeader w:val="0"/>
        </w:trPr>
        <w:tc>
          <w:tcPr/>
          <w:p w:rsidR="00000000" w:rsidDel="00000000" w:rsidP="00000000" w:rsidRDefault="00000000" w:rsidRPr="00000000" w14:paraId="00000040">
            <w:pPr>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l’interessato</w:t>
            </w:r>
          </w:p>
          <w:p w:rsidR="00000000" w:rsidDel="00000000" w:rsidP="00000000" w:rsidRDefault="00000000" w:rsidRPr="00000000" w14:paraId="0000004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(indicare NOME E COGNOME in stampatello)</w:t>
            </w:r>
          </w:p>
          <w:p w:rsidR="00000000" w:rsidDel="00000000" w:rsidP="00000000" w:rsidRDefault="00000000" w:rsidRPr="00000000" w14:paraId="00000043">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5">
            <w:pPr>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47">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w:t>
            </w:r>
          </w:p>
          <w:p w:rsidR="00000000" w:rsidDel="00000000" w:rsidP="00000000" w:rsidRDefault="00000000" w:rsidRPr="00000000" w14:paraId="00000049">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between w:space="0" w:sz="0" w:val="nil"/>
        </w:pBdr>
        <w:jc w:val="cente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between w:space="0" w:sz="0" w:val="nil"/>
        </w:pBd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da inviare </w:t>
      </w:r>
      <w:r w:rsidDel="00000000" w:rsidR="00000000" w:rsidRPr="00000000">
        <w:rPr>
          <w:rFonts w:ascii="Arial" w:cs="Arial" w:eastAsia="Arial" w:hAnsi="Arial"/>
          <w:b w:val="1"/>
          <w:sz w:val="20"/>
          <w:szCs w:val="20"/>
          <w:rtl w:val="0"/>
        </w:rPr>
        <w:t xml:space="preserve">ENTRO E NON OLTRE</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b w:val="1"/>
          <w:sz w:val="20"/>
          <w:szCs w:val="20"/>
          <w:rtl w:val="0"/>
        </w:rPr>
        <w:t xml:space="preserve">IL 29  MAGGIO  2025</w:t>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between w:space="0" w:sz="0" w:val="nil"/>
        </w:pBd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tramite PEC all’indirizzo </w:t>
      </w:r>
      <w:hyperlink r:id="rId10">
        <w:r w:rsidDel="00000000" w:rsidR="00000000" w:rsidRPr="00000000">
          <w:rPr>
            <w:rFonts w:ascii="Arial" w:cs="Arial" w:eastAsia="Arial" w:hAnsi="Arial"/>
            <w:color w:val="0000ff"/>
            <w:sz w:val="20"/>
            <w:szCs w:val="20"/>
            <w:u w:val="single"/>
            <w:rtl w:val="0"/>
          </w:rPr>
          <w:t xml:space="preserve">tecne@pec.marche.camcom.it</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e p.c. a tecne@marche.camcom.it</w:t>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between w:space="0" w:sz="0" w:val="nil"/>
        </w:pBd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8">
      <w:pPr>
        <w:widowControl w:val="1"/>
        <w:jc w:val="both"/>
        <w:rPr>
          <w:rFonts w:ascii="Calibri" w:cs="Calibri" w:eastAsia="Calibri" w:hAnsi="Calibri"/>
          <w:sz w:val="2"/>
          <w:szCs w:val="2"/>
        </w:rPr>
      </w:pPr>
      <w:r w:rsidDel="00000000" w:rsidR="00000000" w:rsidRPr="00000000">
        <w:rPr>
          <w:rtl w:val="0"/>
        </w:rPr>
      </w:r>
    </w:p>
    <w:sectPr>
      <w:headerReference r:id="rId11" w:type="default"/>
      <w:pgSz w:h="16840" w:w="11900" w:orient="portrait"/>
      <w:pgMar w:bottom="278" w:top="1134" w:left="601" w:right="703" w:header="34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jjjj</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-63499</wp:posOffset>
              </wp:positionV>
              <wp:extent cx="5724525" cy="581025"/>
              <wp:effectExtent b="0" l="0" r="0" t="0"/>
              <wp:wrapNone/>
              <wp:docPr id="970515058" name=""/>
              <a:graphic>
                <a:graphicData uri="http://schemas.microsoft.com/office/word/2010/wordprocessingGroup">
                  <wpg:wgp>
                    <wpg:cNvGrpSpPr/>
                    <wpg:grpSpPr>
                      <a:xfrm>
                        <a:off x="2483725" y="3489175"/>
                        <a:ext cx="5724525" cy="581025"/>
                        <a:chOff x="2483725" y="3489175"/>
                        <a:chExt cx="5724550" cy="581650"/>
                      </a:xfrm>
                    </wpg:grpSpPr>
                    <wpg:grpSp>
                      <wpg:cNvGrpSpPr/>
                      <wpg:grpSpPr>
                        <a:xfrm>
                          <a:off x="2483738" y="3489488"/>
                          <a:ext cx="5724525" cy="581025"/>
                          <a:chOff x="2474200" y="3479950"/>
                          <a:chExt cx="5734075" cy="600100"/>
                        </a:xfrm>
                      </wpg:grpSpPr>
                      <wps:wsp>
                        <wps:cNvSpPr/>
                        <wps:cNvPr id="3" name="Shape 3"/>
                        <wps:spPr>
                          <a:xfrm>
                            <a:off x="2474200" y="3479950"/>
                            <a:ext cx="5734075" cy="600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83738" y="3489488"/>
                            <a:ext cx="5724525" cy="581025"/>
                            <a:chOff x="0" y="0"/>
                            <a:chExt cx="6978015" cy="781050"/>
                          </a:xfrm>
                        </wpg:grpSpPr>
                        <wps:wsp>
                          <wps:cNvSpPr/>
                          <wps:cNvPr id="5" name="Shape 5"/>
                          <wps:spPr>
                            <a:xfrm>
                              <a:off x="0" y="0"/>
                              <a:ext cx="6978000" cy="781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2">
                              <a:alphaModFix/>
                            </a:blip>
                            <a:srcRect b="0" l="0" r="0" t="0"/>
                            <a:stretch/>
                          </pic:blipFill>
                          <pic:spPr>
                            <a:xfrm>
                              <a:off x="0" y="0"/>
                              <a:ext cx="5212080" cy="781050"/>
                            </a:xfrm>
                            <a:prstGeom prst="rect">
                              <a:avLst/>
                            </a:prstGeom>
                            <a:noFill/>
                            <a:ln cap="flat" cmpd="sng" w="9525">
                              <a:solidFill>
                                <a:srgbClr val="FFFFFF"/>
                              </a:solidFill>
                              <a:prstDash val="solid"/>
                              <a:round/>
                              <a:headEnd len="sm" w="sm" type="none"/>
                              <a:tailEnd len="sm" w="sm" type="none"/>
                            </a:ln>
                          </pic:spPr>
                        </pic:pic>
                        <pic:pic>
                          <pic:nvPicPr>
                            <pic:cNvPr descr="https://symbola.net/wp-content/uploads/2019/06/camera-commercio-marche-XL.png" id="7" name="Shape 7"/>
                            <pic:cNvPicPr preferRelativeResize="0"/>
                          </pic:nvPicPr>
                          <pic:blipFill rotWithShape="1">
                            <a:blip r:embed="rId3">
                              <a:alphaModFix/>
                            </a:blip>
                            <a:srcRect b="30851" l="-1" r="-2659" t="30319"/>
                            <a:stretch/>
                          </pic:blipFill>
                          <pic:spPr>
                            <a:xfrm>
                              <a:off x="5467350" y="123825"/>
                              <a:ext cx="1510665" cy="57150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-63499</wp:posOffset>
              </wp:positionV>
              <wp:extent cx="5724525" cy="581025"/>
              <wp:effectExtent b="0" l="0" r="0" t="0"/>
              <wp:wrapNone/>
              <wp:docPr id="970515058"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5724525" cy="581025"/>
                      </a:xfrm>
                      <a:prstGeom prst="rect"/>
                      <a:ln/>
                    </pic:spPr>
                  </pic:pic>
                </a:graphicData>
              </a:graphic>
            </wp:anchor>
          </w:drawing>
        </mc:Fallback>
      </mc:AlternateConten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5838825</wp:posOffset>
              </wp:positionH>
              <wp:positionV relativeFrom="paragraph">
                <wp:posOffset>104139</wp:posOffset>
              </wp:positionV>
              <wp:extent cx="784225" cy="265430"/>
              <wp:wrapSquare wrapText="bothSides" distB="45720" distT="45720" distL="114300" distR="114300"/>
              <wp:docPr id="970515057" name=""/>
              <a:graphic>
                <a:graphicData uri="http://schemas.microsoft.com/office/word/2010/wordprocessingShape">
                  <wps:wsp>
                    <wps:cNvSpPr txBox="1">
                      <a:spLocks noChangeArrowheads="1"/>
                    </wps:cNvSpPr>
                    <wps:spPr bwMode="auto">
                      <a:xfrm>
                        <a:off x="0" y="0"/>
                        <a:ext cx="784225" cy="265430"/>
                      </a:xfrm>
                      <a:prstGeom prst="rect">
                        <a:avLst/>
                      </a:prstGeom>
                      <a:solidFill>
                        <a:srgbClr val="FFFFFF"/>
                      </a:solidFill>
                      <a:ln w="9525">
                        <a:solidFill>
                          <a:srgbClr val="000000"/>
                        </a:solidFill>
                        <a:miter lim="800000"/>
                        <a:headEnd/>
                        <a:tailEnd/>
                      </a:ln>
                    </wps:spPr>
                    <wps:txbx>
                      <w:txbxContent>
                        <w:p w:rsidR="007A58E6" w:rsidDel="00000000" w:rsidP="007A58E6" w:rsidRDefault="00AF33EF" w:rsidRPr="00461824" w14:paraId="7C73122C" w14:textId="0615C895">
                          <w:pPr>
                            <w:rPr>
                              <w:rFonts w:cs="Calibri"/>
                              <w:sz w:val="12"/>
                              <w:szCs w:val="12"/>
                            </w:rPr>
                          </w:pPr>
                          <w:r w:rsidDel="00000000" w:rsidR="00000000" w:rsidRPr="00000000">
                            <w:rPr>
                              <w:rFonts w:ascii="Arial" w:cs="Arial" w:hAnsi="Arial"/>
                              <w:noProof w:val="1"/>
                              <w:color w:val="000000"/>
                              <w:bdr w:color="auto" w:frame="1" w:space="0" w:sz="0" w:val="none"/>
                            </w:rPr>
                            <w:drawing>
                              <wp:inline distB="0" distT="0" distL="0" distR="0">
                                <wp:extent cx="592455" cy="228014"/>
                                <wp:effectExtent b="635" l="0" r="0" t="0"/>
                                <wp:docPr id="970515054" name="Immagine 970515054"/>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592455" cy="228014"/>
                                        </a:xfrm>
                                        <a:prstGeom prst="rect">
                                          <a:avLst/>
                                        </a:prstGeom>
                                        <a:noFill/>
                                        <a:ln>
                                          <a:noFill/>
                                        </a:ln>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5838825</wp:posOffset>
              </wp:positionH>
              <wp:positionV relativeFrom="paragraph">
                <wp:posOffset>104139</wp:posOffset>
              </wp:positionV>
              <wp:extent cx="784225" cy="265430"/>
              <wp:effectExtent b="0" l="0" r="0" t="0"/>
              <wp:wrapSquare wrapText="bothSides" distB="45720" distT="45720" distL="114300" distR="114300"/>
              <wp:docPr id="970515057" name="image3.jpg"/>
              <a:graphic>
                <a:graphicData uri="http://schemas.openxmlformats.org/drawingml/2006/picture">
                  <pic:pic>
                    <pic:nvPicPr>
                      <pic:cNvPr id="0" name="image3.jpg"/>
                      <pic:cNvPicPr preferRelativeResize="0"/>
                    </pic:nvPicPr>
                    <pic:blipFill>
                      <a:blip r:embed="rId5"/>
                      <a:srcRect b="0" l="0" r="0" t="0"/>
                      <a:stretch>
                        <a:fillRect/>
                      </a:stretch>
                    </pic:blipFill>
                    <pic:spPr>
                      <a:xfrm>
                        <a:off x="0" y="0"/>
                        <a:ext cx="784225" cy="26543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9" w:lineRule="auto"/>
      <w:ind w:left="250"/>
    </w:pPr>
    <w:rPr>
      <w:sz w:val="18"/>
      <w:szCs w:val="1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 w:line="503" w:lineRule="auto"/>
      <w:ind w:left="1179" w:right="560"/>
      <w:jc w:val="center"/>
    </w:pPr>
    <w:rPr>
      <w:rFonts w:ascii="Arial" w:cs="Arial" w:eastAsia="Arial" w:hAnsi="Arial"/>
      <w:b w:val="1"/>
      <w:i w:val="1"/>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9" w:lineRule="auto"/>
      <w:ind w:left="250"/>
    </w:pPr>
    <w:rPr>
      <w:sz w:val="18"/>
      <w:szCs w:val="1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 w:line="503" w:lineRule="auto"/>
      <w:ind w:left="1179" w:right="560"/>
      <w:jc w:val="center"/>
    </w:pPr>
    <w:rPr>
      <w:rFonts w:ascii="Arial" w:cs="Arial" w:eastAsia="Arial" w:hAnsi="Arial"/>
      <w:b w:val="1"/>
      <w:i w:val="1"/>
      <w:sz w:val="44"/>
      <w:szCs w:val="44"/>
    </w:rPr>
  </w:style>
  <w:style w:type="paragraph" w:styleId="Normale" w:default="1">
    <w:name w:val="Normal"/>
    <w:qFormat w:val="1"/>
    <w:rPr>
      <w:rFonts w:ascii="Microsoft Sans Serif" w:cs="Microsoft Sans Serif" w:eastAsia="Microsoft Sans Serif" w:hAnsi="Microsoft Sans Serif"/>
    </w:rPr>
  </w:style>
  <w:style w:type="paragraph" w:styleId="Titolo1">
    <w:name w:val="heading 1"/>
    <w:basedOn w:val="Normale"/>
    <w:uiPriority w:val="9"/>
    <w:qFormat w:val="1"/>
    <w:pPr>
      <w:spacing w:before="99"/>
      <w:ind w:left="250"/>
      <w:outlineLvl w:val="0"/>
    </w:pPr>
    <w:rPr>
      <w:sz w:val="18"/>
      <w:szCs w:val="1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uiPriority w:val="10"/>
    <w:qFormat w:val="1"/>
    <w:pPr>
      <w:spacing w:before="1" w:line="503" w:lineRule="exact"/>
      <w:ind w:left="1179" w:right="560"/>
      <w:jc w:val="center"/>
    </w:pPr>
    <w:rPr>
      <w:rFonts w:ascii="Arial" w:cs="Arial" w:eastAsia="Arial" w:hAnsi="Arial"/>
      <w:b w:val="1"/>
      <w:bCs w:val="1"/>
      <w:i w:val="1"/>
      <w:iCs w:val="1"/>
      <w:sz w:val="44"/>
      <w:szCs w:val="44"/>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rPr>
      <w:sz w:val="16"/>
      <w:szCs w:val="16"/>
    </w:rPr>
  </w:style>
  <w:style w:type="paragraph" w:styleId="Paragrafoelenco">
    <w:name w:val="List Paragraph"/>
    <w:basedOn w:val="Normale"/>
    <w:uiPriority w:val="1"/>
    <w:qFormat w:val="1"/>
    <w:pPr>
      <w:spacing w:before="89"/>
      <w:ind w:left="413" w:hanging="164"/>
    </w:pPr>
  </w:style>
  <w:style w:type="paragraph" w:styleId="TableParagraph" w:customStyle="1">
    <w:name w:val="Table Paragraph"/>
    <w:basedOn w:val="Normale"/>
    <w:uiPriority w:val="1"/>
    <w:qFormat w:val="1"/>
  </w:style>
  <w:style w:type="paragraph" w:styleId="Intestazione">
    <w:name w:val="header"/>
    <w:basedOn w:val="Normale"/>
    <w:link w:val="IntestazioneCarattere"/>
    <w:uiPriority w:val="99"/>
    <w:unhideWhenUsed w:val="1"/>
    <w:rsid w:val="004A1F95"/>
    <w:pPr>
      <w:tabs>
        <w:tab w:val="center" w:pos="4819"/>
        <w:tab w:val="right" w:pos="9638"/>
      </w:tabs>
    </w:pPr>
  </w:style>
  <w:style w:type="character" w:styleId="IntestazioneCarattere" w:customStyle="1">
    <w:name w:val="Intestazione Carattere"/>
    <w:basedOn w:val="Carpredefinitoparagrafo"/>
    <w:link w:val="Intestazione"/>
    <w:uiPriority w:val="99"/>
    <w:rsid w:val="004A1F95"/>
    <w:rPr>
      <w:rFonts w:ascii="Microsoft Sans Serif" w:cs="Microsoft Sans Serif" w:eastAsia="Microsoft Sans Serif" w:hAnsi="Microsoft Sans Serif"/>
      <w:lang w:val="it-IT"/>
    </w:rPr>
  </w:style>
  <w:style w:type="paragraph" w:styleId="Pidipagina">
    <w:name w:val="footer"/>
    <w:basedOn w:val="Normale"/>
    <w:link w:val="PidipaginaCarattere"/>
    <w:uiPriority w:val="99"/>
    <w:unhideWhenUsed w:val="1"/>
    <w:rsid w:val="004A1F95"/>
    <w:pPr>
      <w:tabs>
        <w:tab w:val="center" w:pos="4819"/>
        <w:tab w:val="right" w:pos="9638"/>
      </w:tabs>
    </w:pPr>
  </w:style>
  <w:style w:type="character" w:styleId="PidipaginaCarattere" w:customStyle="1">
    <w:name w:val="Piè di pagina Carattere"/>
    <w:basedOn w:val="Carpredefinitoparagrafo"/>
    <w:link w:val="Pidipagina"/>
    <w:uiPriority w:val="99"/>
    <w:rsid w:val="004A1F95"/>
    <w:rPr>
      <w:rFonts w:ascii="Microsoft Sans Serif" w:cs="Microsoft Sans Serif" w:eastAsia="Microsoft Sans Serif" w:hAnsi="Microsoft Sans Serif"/>
      <w:lang w:val="it-IT"/>
    </w:rPr>
  </w:style>
  <w:style w:type="table" w:styleId="Grigliatabella">
    <w:name w:val="Table Grid"/>
    <w:basedOn w:val="Tabellanormale"/>
    <w:uiPriority w:val="59"/>
    <w:rsid w:val="002E5894"/>
    <w:pPr>
      <w:widowControl w:val="1"/>
    </w:pPr>
    <w:rPr>
      <w:rFonts w:ascii="Arial" w:cs="Arial" w:eastAsia="Arial" w:hAnsi="Arial"/>
      <w:lang w:val="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Balloon Text"/>
    <w:basedOn w:val="Normale"/>
    <w:link w:val="TestofumettoCarattere"/>
    <w:uiPriority w:val="99"/>
    <w:semiHidden w:val="1"/>
    <w:unhideWhenUsed w:val="1"/>
    <w:rsid w:val="00A16840"/>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A16840"/>
    <w:rPr>
      <w:rFonts w:ascii="Tahoma" w:cs="Tahoma" w:eastAsia="Microsoft Sans Serif" w:hAnsi="Tahoma"/>
      <w:sz w:val="16"/>
      <w:szCs w:val="16"/>
      <w:lang w:val="it-IT"/>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2"/>
    <w:pPr>
      <w:widowControl w:val="1"/>
    </w:pPr>
    <w:rPr>
      <w:rFonts w:ascii="Arial" w:cs="Arial" w:eastAsia="Arial" w:hAnsi="Arial"/>
    </w:rPr>
    <w:tblPr>
      <w:tblStyleRowBandSize w:val="1"/>
      <w:tblStyleColBandSize w:val="1"/>
      <w:tblCellMar>
        <w:left w:w="108.0" w:type="dxa"/>
        <w:right w:w="108.0" w:type="dxa"/>
      </w:tblCellMar>
    </w:tblPr>
  </w:style>
  <w:style w:type="table" w:styleId="a0" w:customStyle="1">
    <w:basedOn w:val="TableNormal2"/>
    <w:pPr>
      <w:widowControl w:val="1"/>
    </w:pPr>
    <w:rPr>
      <w:rFonts w:ascii="Arial" w:cs="Arial" w:eastAsia="Arial" w:hAnsi="Arial"/>
    </w:rPr>
    <w:tblPr>
      <w:tblStyleRowBandSize w:val="1"/>
      <w:tblStyleColBandSize w:val="1"/>
      <w:tblCellMar>
        <w:left w:w="108.0" w:type="dxa"/>
        <w:right w:w="108.0" w:type="dxa"/>
      </w:tblCellMar>
    </w:tblPr>
  </w:style>
  <w:style w:type="table" w:styleId="a1" w:customStyle="1">
    <w:basedOn w:val="TableNormal1"/>
    <w:pPr>
      <w:widowControl w:val="1"/>
    </w:pPr>
    <w:rPr>
      <w:rFonts w:ascii="Arial" w:cs="Arial" w:eastAsia="Arial" w:hAnsi="Arial"/>
    </w:rPr>
    <w:tblPr>
      <w:tblStyleRowBandSize w:val="1"/>
      <w:tblStyleColBandSize w:val="1"/>
      <w:tblCellMar>
        <w:left w:w="108.0" w:type="dxa"/>
        <w:right w:w="108.0" w:type="dxa"/>
      </w:tblCellMar>
    </w:tblPr>
  </w:style>
  <w:style w:type="table" w:styleId="a2" w:customStyle="1">
    <w:basedOn w:val="TableNormal1"/>
    <w:pPr>
      <w:widowControl w:val="1"/>
    </w:pPr>
    <w:rPr>
      <w:rFonts w:ascii="Arial" w:cs="Arial" w:eastAsia="Arial" w:hAnsi="Arial"/>
    </w:rPr>
    <w:tblPr>
      <w:tblStyleRowBandSize w:val="1"/>
      <w:tblStyleColBandSize w:val="1"/>
      <w:tblCellMar>
        <w:left w:w="108.0" w:type="dxa"/>
        <w:right w:w="108.0" w:type="dxa"/>
      </w:tblCellMar>
    </w:tblPr>
  </w:style>
  <w:style w:type="table" w:styleId="a3" w:customStyle="1">
    <w:basedOn w:val="TableNormal1"/>
    <w:tblPr>
      <w:tblStyleRowBandSize w:val="1"/>
      <w:tblStyleColBandSize w:val="1"/>
      <w:tblCellMar>
        <w:left w:w="115.0" w:type="dxa"/>
        <w:right w:w="115.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0"/>
    <w:pPr>
      <w:widowControl w:val="1"/>
    </w:pPr>
    <w:rPr>
      <w:rFonts w:ascii="Arial" w:cs="Arial" w:eastAsia="Arial" w:hAnsi="Arial"/>
    </w:rPr>
    <w:tblPr>
      <w:tblStyleRowBandSize w:val="1"/>
      <w:tblStyleColBandSize w:val="1"/>
      <w:tblCellMar>
        <w:left w:w="115.0" w:type="dxa"/>
        <w:right w:w="115.0" w:type="dxa"/>
      </w:tblCellMar>
    </w:tblPr>
  </w:style>
  <w:style w:type="table" w:styleId="a6" w:customStyle="1">
    <w:basedOn w:val="TableNormal0"/>
    <w:pPr>
      <w:widowControl w:val="1"/>
    </w:pPr>
    <w:rPr>
      <w:rFonts w:ascii="Arial" w:cs="Arial" w:eastAsia="Arial" w:hAnsi="Arial"/>
    </w:rPr>
    <w:tblPr>
      <w:tblStyleRowBandSize w:val="1"/>
      <w:tblStyleColBandSize w:val="1"/>
      <w:tblCellMar>
        <w:left w:w="115.0" w:type="dxa"/>
        <w:right w:w="115.0" w:type="dxa"/>
      </w:tblCellMar>
    </w:tblPr>
  </w:style>
  <w:style w:type="table" w:styleId="a7" w:customStyle="1">
    <w:basedOn w:val="TableNormal0"/>
    <w:pPr>
      <w:widowControl w:val="1"/>
    </w:pPr>
    <w:rPr>
      <w:rFonts w:ascii="Arial" w:cs="Arial" w:eastAsia="Arial" w:hAnsi="Arial"/>
    </w:rPr>
    <w:tblPr>
      <w:tblStyleRowBandSize w:val="1"/>
      <w:tblStyleColBandSize w:val="1"/>
      <w:tblCellMar>
        <w:left w:w="115.0" w:type="dxa"/>
        <w:right w:w="115.0" w:type="dxa"/>
      </w:tblCellMar>
    </w:tblPr>
  </w:style>
  <w:style w:type="table" w:styleId="a8" w:customStyle="1">
    <w:basedOn w:val="TableNormal0"/>
    <w:pPr>
      <w:widowControl w:val="1"/>
    </w:pPr>
    <w:rPr>
      <w:rFonts w:ascii="Arial" w:cs="Arial" w:eastAsia="Arial" w:hAnsi="Arial"/>
    </w:rPr>
    <w:tblPr>
      <w:tblStyleRowBandSize w:val="1"/>
      <w:tblStyleColBandSize w:val="1"/>
      <w:tblCellMar>
        <w:left w:w="115.0" w:type="dxa"/>
        <w:right w:w="115.0" w:type="dxa"/>
      </w:tblCellMar>
    </w:tblPr>
  </w:style>
  <w:style w:type="character" w:styleId="Collegamentoipertestuale">
    <w:name w:val="Hyperlink"/>
    <w:basedOn w:val="Carpredefinitoparagrafo"/>
    <w:uiPriority w:val="99"/>
    <w:unhideWhenUsed w:val="1"/>
    <w:rsid w:val="007A58E6"/>
    <w:rPr>
      <w:color w:val="0000ff" w:themeColor="hyperlink"/>
      <w:u w:val="single"/>
    </w:rPr>
  </w:style>
  <w:style w:type="character" w:styleId="UnresolvedMention" w:customStyle="1">
    <w:name w:val="Unresolved Mention"/>
    <w:basedOn w:val="Carpredefinitoparagrafo"/>
    <w:uiPriority w:val="99"/>
    <w:semiHidden w:val="1"/>
    <w:unhideWhenUsed w:val="1"/>
    <w:rsid w:val="007A58E6"/>
    <w:rPr>
      <w:color w:val="605e5c"/>
      <w:shd w:color="auto" w:fill="e1dfdd" w:val="clear"/>
    </w:rPr>
  </w:style>
  <w:style w:type="character" w:styleId="Rimandocommento">
    <w:name w:val="annotation reference"/>
    <w:basedOn w:val="Carpredefinitoparagrafo"/>
    <w:uiPriority w:val="99"/>
    <w:semiHidden w:val="1"/>
    <w:unhideWhenUsed w:val="1"/>
    <w:rsid w:val="005D638D"/>
    <w:rPr>
      <w:sz w:val="16"/>
      <w:szCs w:val="16"/>
    </w:rPr>
  </w:style>
  <w:style w:type="paragraph" w:styleId="Testocommento">
    <w:name w:val="annotation text"/>
    <w:basedOn w:val="Normale"/>
    <w:link w:val="TestocommentoCarattere"/>
    <w:uiPriority w:val="99"/>
    <w:semiHidden w:val="1"/>
    <w:unhideWhenUsed w:val="1"/>
    <w:rsid w:val="005D638D"/>
    <w:rPr>
      <w:sz w:val="20"/>
      <w:szCs w:val="20"/>
    </w:rPr>
  </w:style>
  <w:style w:type="character" w:styleId="TestocommentoCarattere" w:customStyle="1">
    <w:name w:val="Testo commento Carattere"/>
    <w:basedOn w:val="Carpredefinitoparagrafo"/>
    <w:link w:val="Testocommento"/>
    <w:uiPriority w:val="99"/>
    <w:semiHidden w:val="1"/>
    <w:rsid w:val="005D638D"/>
    <w:rPr>
      <w:rFonts w:ascii="Microsoft Sans Serif" w:cs="Microsoft Sans Serif" w:eastAsia="Microsoft Sans Serif" w:hAnsi="Microsoft Sans Serif"/>
      <w:sz w:val="20"/>
      <w:szCs w:val="20"/>
    </w:rPr>
  </w:style>
  <w:style w:type="paragraph" w:styleId="Soggettocommento">
    <w:name w:val="annotation subject"/>
    <w:basedOn w:val="Testocommento"/>
    <w:next w:val="Testocommento"/>
    <w:link w:val="SoggettocommentoCarattere"/>
    <w:uiPriority w:val="99"/>
    <w:semiHidden w:val="1"/>
    <w:unhideWhenUsed w:val="1"/>
    <w:rsid w:val="005D638D"/>
    <w:rPr>
      <w:b w:val="1"/>
      <w:bCs w:val="1"/>
    </w:rPr>
  </w:style>
  <w:style w:type="character" w:styleId="SoggettocommentoCarattere" w:customStyle="1">
    <w:name w:val="Soggetto commento Carattere"/>
    <w:basedOn w:val="TestocommentoCarattere"/>
    <w:link w:val="Soggettocommento"/>
    <w:uiPriority w:val="99"/>
    <w:semiHidden w:val="1"/>
    <w:rsid w:val="005D638D"/>
    <w:rPr>
      <w:rFonts w:ascii="Microsoft Sans Serif" w:cs="Microsoft Sans Serif" w:eastAsia="Microsoft Sans Serif" w:hAnsi="Microsoft Sans Serif"/>
      <w:b w:val="1"/>
      <w:bCs w:val="1"/>
      <w:sz w:val="20"/>
      <w:szCs w:val="20"/>
    </w:rPr>
  </w:style>
  <w:style w:type="table" w:styleId="Grigliatabella1" w:customStyle="1">
    <w:name w:val="Griglia tabella1"/>
    <w:basedOn w:val="Tabellanormale"/>
    <w:next w:val="Grigliatabella"/>
    <w:uiPriority w:val="39"/>
    <w:rsid w:val="005C1D36"/>
    <w:pPr>
      <w:widowControl w:val="1"/>
    </w:pPr>
    <w:rPr>
      <w:rFonts w:ascii="Calibri" w:cs="Times New Roman" w:eastAsia="Calibri" w:hAnsi="Calibri"/>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1"/>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mailto:tecne@pec.marche.camcom.it" TargetMode="External"/><Relationship Id="rId9" Type="http://schemas.openxmlformats.org/officeDocument/2006/relationships/hyperlink" Target="mailto:tecne@marche.camcom.i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tecne@pec.marche.camcom.it"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2.png"/><Relationship Id="rId5"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n8dA+PB11TPjYza4LPWLFXh39Q==">CgMxLjAyCWguMWZvYjl0ZTIJaC4zem55c2g3MgloLjJldDkycDAyCGgudHlqY3d0OAByITFDSWFPYjZIb0JRTHhEd0Z1TWhrWGZ1MlZXcnJMeE1tRg==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2024-04-04T08:09:00Z</dcterms:created>
  <dc:creator>Valentina Giuliodori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2022-02-03T00:00:00Z</vt:filetime>
  </property>
</Properties>
</file>